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32B7" w14:textId="788F79C9" w:rsidR="00740045" w:rsidRPr="00740045" w:rsidRDefault="006E1C26" w:rsidP="00740045">
      <w:pPr>
        <w:shd w:val="clear" w:color="auto" w:fill="FFFFFF"/>
        <w:spacing w:after="0" w:line="240" w:lineRule="auto"/>
        <w:rPr>
          <w:rFonts w:ascii="Calibri" w:eastAsia="Times New Roman" w:hAnsi="Calibri" w:cs="Calibri"/>
          <w:color w:val="333333"/>
          <w:sz w:val="32"/>
          <w:szCs w:val="32"/>
          <w:lang w:eastAsia="sv-SE"/>
        </w:rPr>
      </w:pPr>
      <w:r>
        <w:rPr>
          <w:rFonts w:ascii="Calibri" w:eastAsia="Times New Roman" w:hAnsi="Calibri" w:cs="Calibri"/>
          <w:b/>
          <w:bCs/>
          <w:color w:val="333333"/>
          <w:sz w:val="32"/>
          <w:szCs w:val="32"/>
          <w:lang w:eastAsia="sv-SE"/>
        </w:rPr>
        <w:t>Styrelsens f</w:t>
      </w:r>
      <w:r w:rsidR="00740045">
        <w:rPr>
          <w:rFonts w:ascii="Calibri" w:eastAsia="Times New Roman" w:hAnsi="Calibri" w:cs="Calibri"/>
          <w:b/>
          <w:bCs/>
          <w:color w:val="333333"/>
          <w:sz w:val="32"/>
          <w:szCs w:val="32"/>
          <w:lang w:eastAsia="sv-SE"/>
        </w:rPr>
        <w:t xml:space="preserve">örslag till beslut </w:t>
      </w:r>
      <w:r w:rsidRPr="006E1C26">
        <w:rPr>
          <w:rFonts w:ascii="Calibri" w:eastAsia="Times New Roman" w:hAnsi="Calibri" w:cs="Calibri"/>
          <w:b/>
          <w:bCs/>
          <w:color w:val="333333"/>
          <w:sz w:val="32"/>
          <w:szCs w:val="32"/>
          <w:lang w:eastAsia="sv-SE"/>
        </w:rPr>
        <w:t>om bemyndigande för st</w:t>
      </w:r>
      <w:r>
        <w:rPr>
          <w:rFonts w:ascii="Calibri" w:eastAsia="Times New Roman" w:hAnsi="Calibri" w:cs="Calibri"/>
          <w:b/>
          <w:bCs/>
          <w:color w:val="333333"/>
          <w:sz w:val="32"/>
          <w:szCs w:val="32"/>
          <w:lang w:eastAsia="sv-SE"/>
        </w:rPr>
        <w:t xml:space="preserve">yrelsen att </w:t>
      </w:r>
      <w:r w:rsidR="000B24F3">
        <w:rPr>
          <w:rFonts w:ascii="Calibri" w:eastAsia="Times New Roman" w:hAnsi="Calibri" w:cs="Calibri"/>
          <w:b/>
          <w:bCs/>
          <w:color w:val="333333"/>
          <w:sz w:val="32"/>
          <w:szCs w:val="32"/>
          <w:lang w:eastAsia="sv-SE"/>
        </w:rPr>
        <w:br/>
      </w:r>
      <w:r>
        <w:rPr>
          <w:rFonts w:ascii="Calibri" w:eastAsia="Times New Roman" w:hAnsi="Calibri" w:cs="Calibri"/>
          <w:b/>
          <w:bCs/>
          <w:color w:val="333333"/>
          <w:sz w:val="32"/>
          <w:szCs w:val="32"/>
          <w:lang w:eastAsia="sv-SE"/>
        </w:rPr>
        <w:t>besluta om emission</w:t>
      </w:r>
      <w:r w:rsidRPr="006E1C26">
        <w:rPr>
          <w:rFonts w:ascii="Calibri" w:eastAsia="Times New Roman" w:hAnsi="Calibri" w:cs="Calibri"/>
          <w:b/>
          <w:bCs/>
          <w:color w:val="333333"/>
          <w:sz w:val="32"/>
          <w:szCs w:val="32"/>
          <w:lang w:eastAsia="sv-SE"/>
        </w:rPr>
        <w:t>er</w:t>
      </w:r>
    </w:p>
    <w:p w14:paraId="04F26143" w14:textId="77777777" w:rsidR="00740045" w:rsidRPr="00740045" w:rsidRDefault="00740045" w:rsidP="00740045">
      <w:pPr>
        <w:shd w:val="clear" w:color="auto" w:fill="FFFFFF"/>
        <w:spacing w:after="0" w:line="240" w:lineRule="auto"/>
        <w:rPr>
          <w:rFonts w:ascii="Calibri" w:eastAsia="Times New Roman" w:hAnsi="Calibri" w:cs="Calibri"/>
          <w:b/>
          <w:bCs/>
          <w:color w:val="333333"/>
          <w:sz w:val="22"/>
          <w:szCs w:val="22"/>
          <w:lang w:eastAsia="sv-SE"/>
        </w:rPr>
      </w:pPr>
    </w:p>
    <w:p w14:paraId="06F4E710" w14:textId="24FE68A3" w:rsidR="00E000EC" w:rsidRPr="00E000EC" w:rsidRDefault="00740045" w:rsidP="00E000EC">
      <w:pPr>
        <w:autoSpaceDE w:val="0"/>
        <w:autoSpaceDN w:val="0"/>
        <w:adjustRightInd w:val="0"/>
        <w:spacing w:after="160" w:line="259" w:lineRule="auto"/>
        <w:rPr>
          <w:rFonts w:ascii="Calibri" w:eastAsia="Calibri" w:hAnsi="Calibri" w:cs="Times New Roman"/>
          <w:sz w:val="22"/>
          <w:szCs w:val="22"/>
        </w:rPr>
      </w:pPr>
      <w:r w:rsidRPr="00740045">
        <w:rPr>
          <w:rFonts w:ascii="Calibri" w:eastAsia="Calibri" w:hAnsi="Calibri" w:cs="Times New Roman"/>
          <w:sz w:val="22"/>
          <w:szCs w:val="22"/>
        </w:rPr>
        <w:t>Styrelsen</w:t>
      </w:r>
      <w:r>
        <w:rPr>
          <w:rFonts w:ascii="Calibri" w:eastAsia="Calibri" w:hAnsi="Calibri" w:cs="Times New Roman"/>
          <w:sz w:val="22"/>
          <w:szCs w:val="22"/>
        </w:rPr>
        <w:t xml:space="preserve"> för Arcoma Aktiebolag (publ), org. nr </w:t>
      </w:r>
      <w:proofErr w:type="gramStart"/>
      <w:r>
        <w:rPr>
          <w:rFonts w:ascii="Calibri" w:eastAsia="Calibri" w:hAnsi="Calibri" w:cs="Times New Roman"/>
          <w:sz w:val="22"/>
          <w:szCs w:val="22"/>
        </w:rPr>
        <w:t>556410-8198</w:t>
      </w:r>
      <w:proofErr w:type="gramEnd"/>
      <w:r w:rsidR="00000B4B">
        <w:rPr>
          <w:rFonts w:ascii="Calibri" w:eastAsia="Calibri" w:hAnsi="Calibri" w:cs="Times New Roman"/>
          <w:sz w:val="22"/>
          <w:szCs w:val="22"/>
        </w:rPr>
        <w:t xml:space="preserve">, </w:t>
      </w:r>
      <w:r w:rsidRPr="00740045">
        <w:rPr>
          <w:rFonts w:ascii="Calibri" w:eastAsia="Calibri" w:hAnsi="Calibri" w:cs="Times New Roman"/>
          <w:sz w:val="22"/>
          <w:szCs w:val="22"/>
        </w:rPr>
        <w:t xml:space="preserve">föreslår att årsstämman </w:t>
      </w:r>
      <w:r w:rsidR="00A409DD">
        <w:rPr>
          <w:rFonts w:ascii="Calibri" w:eastAsia="Calibri" w:hAnsi="Calibri" w:cs="Times New Roman"/>
          <w:sz w:val="22"/>
          <w:szCs w:val="22"/>
        </w:rPr>
        <w:t xml:space="preserve">den </w:t>
      </w:r>
      <w:r w:rsidR="00000B4B">
        <w:rPr>
          <w:rFonts w:ascii="Calibri" w:eastAsia="Calibri" w:hAnsi="Calibri" w:cs="Times New Roman"/>
          <w:sz w:val="22"/>
          <w:szCs w:val="22"/>
        </w:rPr>
        <w:t xml:space="preserve">17 maj 2023 </w:t>
      </w:r>
      <w:r>
        <w:rPr>
          <w:rFonts w:ascii="Calibri" w:eastAsia="Calibri" w:hAnsi="Calibri" w:cs="Times New Roman"/>
          <w:sz w:val="22"/>
          <w:szCs w:val="22"/>
        </w:rPr>
        <w:t>beslutar att bemyndiga</w:t>
      </w:r>
      <w:r w:rsidR="001D15CD">
        <w:rPr>
          <w:rFonts w:ascii="Calibri" w:eastAsia="Calibri" w:hAnsi="Calibri" w:cs="Times New Roman"/>
          <w:sz w:val="22"/>
          <w:szCs w:val="22"/>
        </w:rPr>
        <w:t xml:space="preserve"> styrelsen </w:t>
      </w:r>
      <w:r w:rsidR="00FF01E8" w:rsidRPr="00FF01E8">
        <w:rPr>
          <w:rFonts w:ascii="Calibri" w:eastAsia="Calibri" w:hAnsi="Calibri" w:cs="Times New Roman"/>
          <w:sz w:val="22"/>
          <w:szCs w:val="22"/>
        </w:rPr>
        <w:t xml:space="preserve">att, vid ett eller flera tillfällen under tiden fram till nästa årsstämma, med eller utan avvikelse från aktieägarnas företrädesrätt, besluta om nyemission av aktier. Emission ska kunna ske med eller utan föreskrift om apport, kvittning eller annat villkor. Antalet aktier som ska kunna emitteras (alternativt tillkomma genom konvertering av konvertibler eller utnyttjande av teckningsoptioner) ska sammanlagt högst uppgå till 1 305 206 aktier, vilket motsvarar cirka 10 procent av samtliga aktier i </w:t>
      </w:r>
      <w:r w:rsidR="00000B4B">
        <w:rPr>
          <w:rFonts w:ascii="Calibri" w:eastAsia="Calibri" w:hAnsi="Calibri" w:cs="Times New Roman"/>
          <w:sz w:val="22"/>
          <w:szCs w:val="22"/>
        </w:rPr>
        <w:t>b</w:t>
      </w:r>
      <w:r w:rsidR="00547BFA">
        <w:rPr>
          <w:rFonts w:ascii="Calibri" w:eastAsia="Calibri" w:hAnsi="Calibri" w:cs="Times New Roman"/>
          <w:sz w:val="22"/>
          <w:szCs w:val="22"/>
        </w:rPr>
        <w:t>olaget</w:t>
      </w:r>
      <w:r w:rsidR="00FF01E8" w:rsidRPr="00FF01E8">
        <w:rPr>
          <w:rFonts w:ascii="Calibri" w:eastAsia="Calibri" w:hAnsi="Calibri" w:cs="Times New Roman"/>
          <w:sz w:val="22"/>
          <w:szCs w:val="22"/>
        </w:rPr>
        <w:t xml:space="preserve"> per dagen för kallelsen. Syftet med bemyndigandet är att kunna anskaffa rörelsekapital, att kunna genomföra och finansiera företagsförvärv samt att möjliggöra emission till industriella partners inom ramen för samarbeten och allianser. I den mån bemyndigandet utnyttjas för emission med avvikelse från aktieägarnas företrädesrätt, ska emissionsvillkoren vara marknadsmässiga</w:t>
      </w:r>
      <w:r w:rsidR="00E000EC" w:rsidRPr="00E000EC">
        <w:rPr>
          <w:rFonts w:ascii="Calibri" w:eastAsia="Calibri" w:hAnsi="Calibri" w:cs="Times New Roman"/>
          <w:sz w:val="22"/>
          <w:szCs w:val="22"/>
        </w:rPr>
        <w:t xml:space="preserve">. </w:t>
      </w:r>
    </w:p>
    <w:p w14:paraId="0700233D" w14:textId="77777777" w:rsidR="00740045" w:rsidRPr="00740045" w:rsidRDefault="00740045" w:rsidP="00740045">
      <w:pPr>
        <w:shd w:val="clear" w:color="auto" w:fill="FFFFFF"/>
        <w:spacing w:after="0" w:line="240" w:lineRule="auto"/>
        <w:jc w:val="center"/>
        <w:rPr>
          <w:rFonts w:ascii="Calibri" w:eastAsia="Times New Roman" w:hAnsi="Calibri" w:cs="Calibri"/>
          <w:color w:val="333333"/>
          <w:sz w:val="22"/>
          <w:szCs w:val="22"/>
          <w:lang w:eastAsia="sv-SE"/>
        </w:rPr>
      </w:pPr>
      <w:r w:rsidRPr="00740045">
        <w:rPr>
          <w:rFonts w:ascii="Calibri" w:eastAsia="Times New Roman" w:hAnsi="Calibri" w:cs="Calibri"/>
          <w:color w:val="333333"/>
          <w:sz w:val="22"/>
          <w:szCs w:val="22"/>
          <w:lang w:eastAsia="sv-SE"/>
        </w:rPr>
        <w:t>____________________</w:t>
      </w:r>
    </w:p>
    <w:p w14:paraId="2B548472" w14:textId="77777777" w:rsidR="00740045" w:rsidRPr="00740045" w:rsidRDefault="00740045" w:rsidP="00740045">
      <w:pPr>
        <w:autoSpaceDE w:val="0"/>
        <w:autoSpaceDN w:val="0"/>
        <w:adjustRightInd w:val="0"/>
        <w:spacing w:after="160" w:line="259" w:lineRule="auto"/>
        <w:jc w:val="center"/>
        <w:rPr>
          <w:rFonts w:ascii="Calibri" w:eastAsia="Calibri" w:hAnsi="Calibri" w:cs="Times New Roman"/>
          <w:sz w:val="22"/>
          <w:szCs w:val="22"/>
        </w:rPr>
      </w:pPr>
    </w:p>
    <w:p w14:paraId="6469E679" w14:textId="7165DDB3" w:rsidR="00740045" w:rsidRDefault="00547BFA" w:rsidP="00740045">
      <w:pPr>
        <w:autoSpaceDE w:val="0"/>
        <w:autoSpaceDN w:val="0"/>
        <w:adjustRightInd w:val="0"/>
        <w:spacing w:after="160" w:line="259" w:lineRule="auto"/>
        <w:rPr>
          <w:rFonts w:ascii="Calibri" w:eastAsia="Calibri" w:hAnsi="Calibri" w:cs="Times New Roman"/>
          <w:sz w:val="22"/>
          <w:szCs w:val="22"/>
        </w:rPr>
      </w:pPr>
      <w:r w:rsidRPr="00547BFA">
        <w:rPr>
          <w:rFonts w:ascii="Calibri" w:eastAsia="Calibri" w:hAnsi="Calibri" w:cs="Times New Roman"/>
          <w:sz w:val="22"/>
          <w:szCs w:val="22"/>
        </w:rPr>
        <w:t>Årsstämman föreslås vidare bemyndiga styrelsen, verkställande direktören eller den styrelsen förordnar, att vidta de smärre justeringar som kan visas erforderliga i samband med registrering av beslutet hos Bolagsverket</w:t>
      </w:r>
      <w:r w:rsidR="00740045" w:rsidRPr="00740045">
        <w:rPr>
          <w:rFonts w:ascii="Calibri" w:eastAsia="Calibri" w:hAnsi="Calibri" w:cs="Times New Roman"/>
          <w:sz w:val="22"/>
          <w:szCs w:val="22"/>
        </w:rPr>
        <w:t xml:space="preserve">. </w:t>
      </w:r>
    </w:p>
    <w:p w14:paraId="4DBBA0B9" w14:textId="77777777" w:rsidR="00740045" w:rsidRPr="00740045" w:rsidRDefault="00740045" w:rsidP="00740045">
      <w:pPr>
        <w:autoSpaceDE w:val="0"/>
        <w:autoSpaceDN w:val="0"/>
        <w:adjustRightInd w:val="0"/>
        <w:spacing w:after="160" w:line="259" w:lineRule="auto"/>
        <w:rPr>
          <w:rFonts w:ascii="Calibri" w:eastAsia="Calibri" w:hAnsi="Calibri" w:cs="Times New Roman"/>
          <w:sz w:val="22"/>
          <w:szCs w:val="22"/>
        </w:rPr>
      </w:pPr>
      <w:r w:rsidRPr="00740045">
        <w:rPr>
          <w:rFonts w:ascii="Calibri" w:eastAsia="Calibri" w:hAnsi="Calibri" w:cs="Times New Roman"/>
          <w:sz w:val="22"/>
          <w:szCs w:val="22"/>
        </w:rPr>
        <w:t>För giltigt beslut erfordras att förslaget biträds av aktieägare med minst två tredjedelar av såväl de avgivna rösterna som de aktier som är företrädda vid årsstämman.</w:t>
      </w:r>
    </w:p>
    <w:p w14:paraId="3211C135" w14:textId="77777777" w:rsidR="00740045" w:rsidRPr="00740045" w:rsidRDefault="00740045" w:rsidP="00740045">
      <w:pPr>
        <w:shd w:val="clear" w:color="auto" w:fill="FFFFFF"/>
        <w:spacing w:after="0" w:line="240" w:lineRule="auto"/>
        <w:jc w:val="center"/>
        <w:rPr>
          <w:rFonts w:ascii="Calibri" w:eastAsia="Times New Roman" w:hAnsi="Calibri" w:cs="Calibri"/>
          <w:color w:val="333333"/>
          <w:sz w:val="22"/>
          <w:szCs w:val="22"/>
          <w:lang w:eastAsia="sv-SE"/>
        </w:rPr>
      </w:pPr>
      <w:r w:rsidRPr="00740045">
        <w:rPr>
          <w:rFonts w:ascii="Calibri" w:eastAsia="Times New Roman" w:hAnsi="Calibri" w:cs="Calibri"/>
          <w:color w:val="333333"/>
          <w:sz w:val="22"/>
          <w:szCs w:val="22"/>
          <w:lang w:eastAsia="sv-SE"/>
        </w:rPr>
        <w:t>____________________</w:t>
      </w:r>
    </w:p>
    <w:p w14:paraId="6E2DEC96" w14:textId="1E979F59" w:rsidR="00740045" w:rsidRPr="00740045" w:rsidRDefault="00740045" w:rsidP="00740045">
      <w:pPr>
        <w:shd w:val="clear" w:color="auto" w:fill="FFFFFF"/>
        <w:spacing w:after="0" w:line="240" w:lineRule="auto"/>
        <w:jc w:val="center"/>
        <w:rPr>
          <w:rFonts w:ascii="Calibri" w:eastAsia="Times New Roman" w:hAnsi="Calibri" w:cs="Calibri"/>
          <w:color w:val="333333"/>
          <w:sz w:val="22"/>
          <w:szCs w:val="22"/>
          <w:lang w:eastAsia="sv-SE"/>
        </w:rPr>
      </w:pPr>
      <w:r w:rsidRPr="00740045">
        <w:rPr>
          <w:rFonts w:ascii="Calibri" w:eastAsia="Times New Roman" w:hAnsi="Calibri" w:cs="Calibri"/>
          <w:color w:val="333333"/>
          <w:sz w:val="22"/>
          <w:szCs w:val="22"/>
          <w:lang w:eastAsia="sv-SE"/>
        </w:rPr>
        <w:t xml:space="preserve">Växjö i april </w:t>
      </w:r>
      <w:r w:rsidR="00000B4B">
        <w:rPr>
          <w:rFonts w:ascii="Calibri" w:eastAsia="Times New Roman" w:hAnsi="Calibri" w:cs="Calibri"/>
          <w:color w:val="333333"/>
          <w:sz w:val="22"/>
          <w:szCs w:val="22"/>
          <w:lang w:eastAsia="sv-SE"/>
        </w:rPr>
        <w:t>2023</w:t>
      </w:r>
    </w:p>
    <w:p w14:paraId="72DA2AA1" w14:textId="77777777" w:rsidR="00740045" w:rsidRPr="00740045" w:rsidRDefault="00740045" w:rsidP="00740045">
      <w:pPr>
        <w:shd w:val="clear" w:color="auto" w:fill="FFFFFF"/>
        <w:spacing w:after="0" w:line="240" w:lineRule="auto"/>
        <w:jc w:val="center"/>
        <w:rPr>
          <w:rFonts w:ascii="Calibri" w:eastAsia="Times New Roman" w:hAnsi="Calibri" w:cs="Calibri"/>
          <w:color w:val="333333"/>
          <w:sz w:val="22"/>
          <w:szCs w:val="22"/>
          <w:lang w:eastAsia="sv-SE"/>
        </w:rPr>
      </w:pPr>
      <w:r>
        <w:rPr>
          <w:rFonts w:ascii="Calibri" w:eastAsia="Times New Roman" w:hAnsi="Calibri" w:cs="Calibri"/>
          <w:color w:val="333333"/>
          <w:sz w:val="22"/>
          <w:szCs w:val="22"/>
          <w:lang w:eastAsia="sv-SE"/>
        </w:rPr>
        <w:t xml:space="preserve">Styrelsen för </w:t>
      </w:r>
      <w:r w:rsidRPr="00740045">
        <w:rPr>
          <w:rFonts w:ascii="Calibri" w:eastAsia="Times New Roman" w:hAnsi="Calibri" w:cs="Calibri"/>
          <w:color w:val="333333"/>
          <w:sz w:val="22"/>
          <w:szCs w:val="22"/>
          <w:lang w:eastAsia="sv-SE"/>
        </w:rPr>
        <w:t>Arcoma Aktiebolag (publ)</w:t>
      </w:r>
    </w:p>
    <w:p w14:paraId="36A2514F" w14:textId="295EC74F" w:rsidR="000753D8" w:rsidRDefault="000753D8" w:rsidP="00A25FA7"/>
    <w:p w14:paraId="3410F9E4" w14:textId="0A4F800A" w:rsidR="00E000EC" w:rsidRDefault="00E000EC" w:rsidP="00A25FA7"/>
    <w:p w14:paraId="26EFBBCD" w14:textId="77777777" w:rsidR="00E000EC" w:rsidRDefault="00E000EC" w:rsidP="00A25FA7"/>
    <w:sectPr w:rsidR="00E000EC" w:rsidSect="0074004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83F2" w14:textId="77777777" w:rsidR="0084623F" w:rsidRDefault="0084623F" w:rsidP="0066735E">
      <w:pPr>
        <w:spacing w:line="240" w:lineRule="auto"/>
      </w:pPr>
      <w:r>
        <w:separator/>
      </w:r>
    </w:p>
  </w:endnote>
  <w:endnote w:type="continuationSeparator" w:id="0">
    <w:p w14:paraId="1816EEEC" w14:textId="77777777" w:rsidR="0084623F" w:rsidRDefault="0084623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5193" w14:textId="77777777" w:rsidR="00711D21" w:rsidRDefault="00711D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C629" w14:textId="395B0C47" w:rsidR="007B3CF5" w:rsidRDefault="00FF01E8" w:rsidP="007B3CF5">
    <w:pPr>
      <w:pStyle w:val="Sidfot"/>
      <w:jc w:val="right"/>
      <w:rPr>
        <w:sz w:val="20"/>
      </w:rPr>
    </w:pPr>
    <w:r>
      <w:rPr>
        <w:noProof/>
        <w:sz w:val="20"/>
      </w:rPr>
      <mc:AlternateContent>
        <mc:Choice Requires="wps">
          <w:drawing>
            <wp:anchor distT="0" distB="0" distL="114300" distR="114300" simplePos="1" relativeHeight="251659264" behindDoc="0" locked="0" layoutInCell="1" allowOverlap="1" wp14:anchorId="74F2D6A2" wp14:editId="1B282FAF">
              <wp:simplePos x="108000" y="8553704"/>
              <wp:positionH relativeFrom="column">
                <wp:posOffset>108000</wp:posOffset>
              </wp:positionH>
              <wp:positionV relativeFrom="paragraph">
                <wp:posOffset>8553704</wp:posOffset>
              </wp:positionV>
              <wp:extent cx="360000" cy="1584000"/>
              <wp:effectExtent l="0" t="0" r="0" b="0"/>
              <wp:wrapNone/>
              <wp:docPr id="1" name="Textruta 1"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356FA" w14:textId="515DEBB4" w:rsidR="00FF01E8" w:rsidRPr="00FF01E8" w:rsidRDefault="00FF01E8">
                          <w:pPr>
                            <w:rPr>
                              <w:rFonts w:ascii="Arial" w:hAnsi="Arial" w:cs="Arial"/>
                              <w:color w:val="A0A0A0"/>
                              <w:sz w:val="13"/>
                            </w:rPr>
                          </w:pPr>
                          <w:r w:rsidRPr="00FF01E8">
                            <w:rPr>
                              <w:rFonts w:ascii="Arial" w:hAnsi="Arial" w:cs="Arial"/>
                              <w:color w:val="A0A0A0"/>
                              <w:sz w:val="13"/>
                            </w:rPr>
                            <w:t>SW41950182/2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F2D6A2" id="_x0000_t202" coordsize="21600,21600" o:spt="202" path="m,l,21600r21600,l21600,xe">
              <v:stroke joinstyle="miter"/>
              <v:path gradientshapeok="t" o:connecttype="rect"/>
            </v:shapetype>
            <v:shape id="Textruta 1" o:spid="_x0000_s1026" type="#_x0000_t202" alt="DocID" style="position:absolute;left:0;text-align:left;margin-left:8.5pt;margin-top:673.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" filled="f" stroked="f" strokeweight=".5pt">
              <v:textbox style="layout-flow:vertical;mso-layout-flow-alt:top-to-bottom">
                <w:txbxContent>
                  <w:p w14:paraId="58D356FA" w14:textId="515DEBB4" w:rsidR="00FF01E8" w:rsidRPr="00FF01E8" w:rsidRDefault="00FF01E8">
                    <w:pPr>
                      <w:rPr>
                        <w:rFonts w:ascii="Arial" w:hAnsi="Arial" w:cs="Arial"/>
                        <w:color w:val="A0A0A0"/>
                        <w:sz w:val="13"/>
                      </w:rPr>
                    </w:pPr>
                    <w:r w:rsidRPr="00FF01E8">
                      <w:rPr>
                        <w:rFonts w:ascii="Arial" w:hAnsi="Arial" w:cs="Arial"/>
                        <w:color w:val="A0A0A0"/>
                        <w:sz w:val="13"/>
                      </w:rPr>
                      <w:t>SW41950182/2</w:t>
                    </w:r>
                  </w:p>
                </w:txbxContent>
              </v:textbox>
            </v:shape>
          </w:pict>
        </mc:Fallback>
      </mc:AlternateContent>
    </w:r>
    <w:r w:rsidR="007B3CF5">
      <w:rPr>
        <w:sz w:val="20"/>
      </w:rPr>
      <w:fldChar w:fldCharType="begin"/>
    </w:r>
    <w:r w:rsidR="007B3CF5">
      <w:rPr>
        <w:sz w:val="20"/>
      </w:rPr>
      <w:instrText xml:space="preserve"> PAGE  \* Arabic  \* MERGEFORMAT </w:instrText>
    </w:r>
    <w:r w:rsidR="007B3CF5">
      <w:rPr>
        <w:sz w:val="20"/>
      </w:rPr>
      <w:fldChar w:fldCharType="separate"/>
    </w:r>
    <w:r w:rsidR="00740045">
      <w:rPr>
        <w:noProof/>
        <w:sz w:val="20"/>
      </w:rPr>
      <w:t>2</w:t>
    </w:r>
    <w:r w:rsidR="007B3CF5">
      <w:rPr>
        <w:sz w:val="20"/>
      </w:rPr>
      <w:fldChar w:fldCharType="end"/>
    </w:r>
  </w:p>
  <w:p w14:paraId="066BD9A1" w14:textId="77777777"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B85C" w14:textId="77777777" w:rsidR="00711D21" w:rsidRDefault="00711D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100E" w14:textId="77777777" w:rsidR="0084623F" w:rsidRDefault="0084623F" w:rsidP="0066735E">
      <w:pPr>
        <w:spacing w:line="240" w:lineRule="auto"/>
      </w:pPr>
      <w:r>
        <w:separator/>
      </w:r>
    </w:p>
  </w:footnote>
  <w:footnote w:type="continuationSeparator" w:id="0">
    <w:p w14:paraId="59742BE8" w14:textId="77777777" w:rsidR="0084623F" w:rsidRDefault="0084623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38F5" w14:textId="77777777" w:rsidR="00711D21" w:rsidRDefault="00711D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87B8" w14:textId="77777777" w:rsidR="00711D21" w:rsidRDefault="00711D2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618" w14:textId="77777777" w:rsidR="00711D21" w:rsidRDefault="00711D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3892321"/>
    <w:multiLevelType w:val="multilevel"/>
    <w:tmpl w:val="08B45568"/>
    <w:numStyleLink w:val="SetterwallsTabellnumrering"/>
  </w:abstractNum>
  <w:abstractNum w:abstractNumId="2" w15:restartNumberingAfterBreak="0">
    <w:nsid w:val="37502CCD"/>
    <w:multiLevelType w:val="hybridMultilevel"/>
    <w:tmpl w:val="05D2C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4"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7"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A206D0"/>
    <w:multiLevelType w:val="multilevel"/>
    <w:tmpl w:val="A7641D30"/>
    <w:numStyleLink w:val="Setterwallsnumrering"/>
  </w:abstractNum>
  <w:abstractNum w:abstractNumId="9"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EA76AF"/>
    <w:multiLevelType w:val="multilevel"/>
    <w:tmpl w:val="08B45568"/>
    <w:numStyleLink w:val="SetterwallsTabellnumrering"/>
  </w:abstractNum>
  <w:abstractNum w:abstractNumId="11" w15:restartNumberingAfterBreak="0">
    <w:nsid w:val="78510C48"/>
    <w:multiLevelType w:val="hybridMultilevel"/>
    <w:tmpl w:val="1B04B2EE"/>
    <w:lvl w:ilvl="0" w:tplc="041D000F">
      <w:numFmt w:val="decimal"/>
      <w:lvlText w:val="%1."/>
      <w:lvlJc w:val="left"/>
      <w:pPr>
        <w:ind w:left="720" w:hanging="360"/>
      </w:pPr>
      <w:rPr>
        <w:rFonts w:hint="default"/>
      </w:rPr>
    </w:lvl>
    <w:lvl w:ilvl="1" w:tplc="DA46492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04918916">
    <w:abstractNumId w:val="5"/>
  </w:num>
  <w:num w:numId="2" w16cid:durableId="507257178">
    <w:abstractNumId w:val="5"/>
  </w:num>
  <w:num w:numId="3" w16cid:durableId="1653675543">
    <w:abstractNumId w:val="6"/>
  </w:num>
  <w:num w:numId="4" w16cid:durableId="1108357606">
    <w:abstractNumId w:val="5"/>
  </w:num>
  <w:num w:numId="5" w16cid:durableId="790513171">
    <w:abstractNumId w:val="5"/>
  </w:num>
  <w:num w:numId="6" w16cid:durableId="892935232">
    <w:abstractNumId w:val="5"/>
  </w:num>
  <w:num w:numId="7" w16cid:durableId="1751273057">
    <w:abstractNumId w:val="0"/>
  </w:num>
  <w:num w:numId="8" w16cid:durableId="34474646">
    <w:abstractNumId w:val="5"/>
  </w:num>
  <w:num w:numId="9" w16cid:durableId="657879592">
    <w:abstractNumId w:val="5"/>
  </w:num>
  <w:num w:numId="10" w16cid:durableId="1535576265">
    <w:abstractNumId w:val="5"/>
  </w:num>
  <w:num w:numId="11" w16cid:durableId="1670519151">
    <w:abstractNumId w:val="3"/>
  </w:num>
  <w:num w:numId="12" w16cid:durableId="1872717491">
    <w:abstractNumId w:val="5"/>
  </w:num>
  <w:num w:numId="13" w16cid:durableId="1232884464">
    <w:abstractNumId w:val="8"/>
  </w:num>
  <w:num w:numId="14" w16cid:durableId="867984062">
    <w:abstractNumId w:val="8"/>
  </w:num>
  <w:num w:numId="15" w16cid:durableId="1762792900">
    <w:abstractNumId w:val="8"/>
  </w:num>
  <w:num w:numId="16" w16cid:durableId="1908414588">
    <w:abstractNumId w:val="8"/>
  </w:num>
  <w:num w:numId="17" w16cid:durableId="1555001623">
    <w:abstractNumId w:val="8"/>
  </w:num>
  <w:num w:numId="18" w16cid:durableId="866404130">
    <w:abstractNumId w:val="8"/>
  </w:num>
  <w:num w:numId="19" w16cid:durableId="1887719710">
    <w:abstractNumId w:val="8"/>
  </w:num>
  <w:num w:numId="20" w16cid:durableId="860434736">
    <w:abstractNumId w:val="8"/>
  </w:num>
  <w:num w:numId="21" w16cid:durableId="1059783483">
    <w:abstractNumId w:val="3"/>
  </w:num>
  <w:num w:numId="22" w16cid:durableId="1783956436">
    <w:abstractNumId w:val="8"/>
  </w:num>
  <w:num w:numId="23" w16cid:durableId="372199492">
    <w:abstractNumId w:val="8"/>
  </w:num>
  <w:num w:numId="24" w16cid:durableId="711154260">
    <w:abstractNumId w:val="8"/>
  </w:num>
  <w:num w:numId="25" w16cid:durableId="2041467495">
    <w:abstractNumId w:val="8"/>
  </w:num>
  <w:num w:numId="26" w16cid:durableId="1860846829">
    <w:abstractNumId w:val="8"/>
  </w:num>
  <w:num w:numId="27" w16cid:durableId="93091014">
    <w:abstractNumId w:val="8"/>
  </w:num>
  <w:num w:numId="28" w16cid:durableId="1641960011">
    <w:abstractNumId w:val="3"/>
  </w:num>
  <w:num w:numId="29" w16cid:durableId="671763374">
    <w:abstractNumId w:val="3"/>
  </w:num>
  <w:num w:numId="30" w16cid:durableId="1326133576">
    <w:abstractNumId w:val="4"/>
  </w:num>
  <w:num w:numId="31" w16cid:durableId="1498570122">
    <w:abstractNumId w:val="9"/>
  </w:num>
  <w:num w:numId="32" w16cid:durableId="1051030895">
    <w:abstractNumId w:val="1"/>
  </w:num>
  <w:num w:numId="33" w16cid:durableId="349918119">
    <w:abstractNumId w:val="7"/>
  </w:num>
  <w:num w:numId="34" w16cid:durableId="1467776425">
    <w:abstractNumId w:val="1"/>
  </w:num>
  <w:num w:numId="35" w16cid:durableId="1577737619">
    <w:abstractNumId w:val="10"/>
  </w:num>
  <w:num w:numId="36" w16cid:durableId="1521238653">
    <w:abstractNumId w:val="7"/>
  </w:num>
  <w:num w:numId="37" w16cid:durableId="928344028">
    <w:abstractNumId w:val="10"/>
  </w:num>
  <w:num w:numId="38" w16cid:durableId="1173494395">
    <w:abstractNumId w:val="11"/>
  </w:num>
  <w:num w:numId="39" w16cid:durableId="210692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45"/>
    <w:rsid w:val="00000B4B"/>
    <w:rsid w:val="00031DC0"/>
    <w:rsid w:val="000753D8"/>
    <w:rsid w:val="0008285D"/>
    <w:rsid w:val="00085DE6"/>
    <w:rsid w:val="000A0218"/>
    <w:rsid w:val="000B24F3"/>
    <w:rsid w:val="00113809"/>
    <w:rsid w:val="001424A1"/>
    <w:rsid w:val="00163247"/>
    <w:rsid w:val="00194C0C"/>
    <w:rsid w:val="00197269"/>
    <w:rsid w:val="001A6602"/>
    <w:rsid w:val="001D15CD"/>
    <w:rsid w:val="001E6038"/>
    <w:rsid w:val="001F1F10"/>
    <w:rsid w:val="001F4C9F"/>
    <w:rsid w:val="00217CB1"/>
    <w:rsid w:val="00262D8F"/>
    <w:rsid w:val="002C1C3E"/>
    <w:rsid w:val="002C226F"/>
    <w:rsid w:val="0030559A"/>
    <w:rsid w:val="00315A07"/>
    <w:rsid w:val="003558C0"/>
    <w:rsid w:val="00360D5F"/>
    <w:rsid w:val="0038493A"/>
    <w:rsid w:val="003A21B1"/>
    <w:rsid w:val="003C4D35"/>
    <w:rsid w:val="003D39D2"/>
    <w:rsid w:val="004549AA"/>
    <w:rsid w:val="00484C4E"/>
    <w:rsid w:val="00490E31"/>
    <w:rsid w:val="00495846"/>
    <w:rsid w:val="004B2586"/>
    <w:rsid w:val="004D1C38"/>
    <w:rsid w:val="00547BFA"/>
    <w:rsid w:val="0055045D"/>
    <w:rsid w:val="0055238E"/>
    <w:rsid w:val="00584336"/>
    <w:rsid w:val="0059718F"/>
    <w:rsid w:val="005C2EDF"/>
    <w:rsid w:val="006400E3"/>
    <w:rsid w:val="00662863"/>
    <w:rsid w:val="006637B1"/>
    <w:rsid w:val="0066735E"/>
    <w:rsid w:val="00675CAD"/>
    <w:rsid w:val="00685BB7"/>
    <w:rsid w:val="00686580"/>
    <w:rsid w:val="00687D67"/>
    <w:rsid w:val="00694C3B"/>
    <w:rsid w:val="006C5183"/>
    <w:rsid w:val="006D753B"/>
    <w:rsid w:val="006E1C26"/>
    <w:rsid w:val="006F24BC"/>
    <w:rsid w:val="00711D21"/>
    <w:rsid w:val="00721C15"/>
    <w:rsid w:val="00722C0E"/>
    <w:rsid w:val="00740045"/>
    <w:rsid w:val="007B1CD1"/>
    <w:rsid w:val="007B3CF5"/>
    <w:rsid w:val="007C3FA3"/>
    <w:rsid w:val="007C6EC0"/>
    <w:rsid w:val="007D357F"/>
    <w:rsid w:val="007D63A5"/>
    <w:rsid w:val="007E305F"/>
    <w:rsid w:val="007E5E8E"/>
    <w:rsid w:val="008114C8"/>
    <w:rsid w:val="00833A26"/>
    <w:rsid w:val="0084623F"/>
    <w:rsid w:val="00851CED"/>
    <w:rsid w:val="00853854"/>
    <w:rsid w:val="008634EE"/>
    <w:rsid w:val="008E3F3B"/>
    <w:rsid w:val="008F49A9"/>
    <w:rsid w:val="00987E95"/>
    <w:rsid w:val="009A74C2"/>
    <w:rsid w:val="009C1DEB"/>
    <w:rsid w:val="009E0233"/>
    <w:rsid w:val="00A25FA7"/>
    <w:rsid w:val="00A409DD"/>
    <w:rsid w:val="00A43A92"/>
    <w:rsid w:val="00A50423"/>
    <w:rsid w:val="00A5272E"/>
    <w:rsid w:val="00A83531"/>
    <w:rsid w:val="00AD0EE7"/>
    <w:rsid w:val="00AE31CF"/>
    <w:rsid w:val="00B449A7"/>
    <w:rsid w:val="00B66B48"/>
    <w:rsid w:val="00B90537"/>
    <w:rsid w:val="00B92A23"/>
    <w:rsid w:val="00BA0DF7"/>
    <w:rsid w:val="00BE2339"/>
    <w:rsid w:val="00BF59F4"/>
    <w:rsid w:val="00C43874"/>
    <w:rsid w:val="00C60510"/>
    <w:rsid w:val="00CB1897"/>
    <w:rsid w:val="00CE0CA4"/>
    <w:rsid w:val="00CF790F"/>
    <w:rsid w:val="00D03DEE"/>
    <w:rsid w:val="00D53D6F"/>
    <w:rsid w:val="00D73461"/>
    <w:rsid w:val="00DA3E62"/>
    <w:rsid w:val="00DA6E40"/>
    <w:rsid w:val="00DB78EC"/>
    <w:rsid w:val="00DD7363"/>
    <w:rsid w:val="00E000EC"/>
    <w:rsid w:val="00E32389"/>
    <w:rsid w:val="00E65825"/>
    <w:rsid w:val="00E906FC"/>
    <w:rsid w:val="00EA5064"/>
    <w:rsid w:val="00EB6DC7"/>
    <w:rsid w:val="00F04EA1"/>
    <w:rsid w:val="00F33027"/>
    <w:rsid w:val="00F4076C"/>
    <w:rsid w:val="00F409C3"/>
    <w:rsid w:val="00F8323B"/>
    <w:rsid w:val="00F86EA8"/>
    <w:rsid w:val="00FB3A54"/>
    <w:rsid w:val="00FC7718"/>
    <w:rsid w:val="00FE5A67"/>
    <w:rsid w:val="00FF0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19647A"/>
  <w15:chartTrackingRefBased/>
  <w15:docId w15:val="{047A87F0-AC63-43F3-AF96-0A28D4E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33"/>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semiHidden/>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6400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 C L I E N T S ! 4 2 6 6 7 6 0 1 . 2 < / d o c u m e n t i d >  
     < s e n d e r i d > M M A G J O < / s e n d e r i d >  
     < s e n d e r e m a i l > G U S T A V . J O H A N S S O N @ S E T T E R W A L L S . S E < / s e n d e r e m a i l >  
     < l a s t m o d i f i e d > 2 0 2 3 - 0 3 - 3 0 T 1 8 : 3 8 : 0 0 . 0 0 0 0 0 0 0 + 0 2 : 0 0 < / l a s t m o d i f i e d >  
     < d a t a b a s e > C L I E N T S 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76C5-903C-41B0-B5F1-F9AF272E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Rydberg</dc:creator>
  <cp:keywords/>
  <dc:description/>
  <cp:lastModifiedBy>Gustav Johansson</cp:lastModifiedBy>
  <cp:revision>5</cp:revision>
  <dcterms:created xsi:type="dcterms:W3CDTF">2023-03-30T16:37:00Z</dcterms:created>
  <dcterms:modified xsi:type="dcterms:W3CDTF">2023-03-30T16:38:00Z</dcterms:modified>
</cp:coreProperties>
</file>